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66" w:rsidRPr="00227E66" w:rsidRDefault="00227E66" w:rsidP="00227E66">
      <w:pPr>
        <w:shd w:val="clear" w:color="auto" w:fill="FFFFFF"/>
        <w:spacing w:after="0" w:line="240" w:lineRule="auto"/>
        <w:outlineLvl w:val="1"/>
        <w:rPr>
          <w:rFonts w:ascii="Verdana" w:eastAsia="Times New Roman" w:hAnsi="Verdana" w:cs="Arial"/>
          <w:b/>
          <w:bCs/>
          <w:color w:val="444444"/>
          <w:kern w:val="36"/>
          <w:sz w:val="32"/>
          <w:szCs w:val="32"/>
          <w:lang w:eastAsia="ru-RU"/>
        </w:rPr>
      </w:pPr>
      <w:r w:rsidRPr="00227E66">
        <w:rPr>
          <w:rFonts w:ascii="Verdana" w:eastAsia="Times New Roman" w:hAnsi="Verdana" w:cs="Arial"/>
          <w:b/>
          <w:bCs/>
          <w:color w:val="444444"/>
          <w:kern w:val="36"/>
          <w:sz w:val="32"/>
          <w:szCs w:val="32"/>
          <w:lang w:eastAsia="ru-RU"/>
        </w:rPr>
        <w:t>ГОСТ 17711-93 Сплавы медно-цинковые (латуни) литейные. Марки</w:t>
      </w: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t xml:space="preserve">ГОСТ 17711-93 </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t>Группа В51</w:t>
      </w:r>
      <w:r w:rsidRPr="00227E66">
        <w:rPr>
          <w:rFonts w:ascii="Arial" w:eastAsia="Times New Roman" w:hAnsi="Arial" w:cs="Arial"/>
          <w:color w:val="4C4C4C"/>
          <w:sz w:val="23"/>
          <w:szCs w:val="23"/>
          <w:lang w:eastAsia="ru-RU"/>
        </w:rPr>
        <w:br/>
      </w:r>
    </w:p>
    <w:p w:rsidR="00227E66" w:rsidRPr="00227E66" w:rsidRDefault="00227E66" w:rsidP="00227E66">
      <w:pPr>
        <w:shd w:val="clear" w:color="auto" w:fill="FFFFFF"/>
        <w:spacing w:before="144" w:after="144"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eastAsia="ru-RU"/>
        </w:rPr>
        <w:t xml:space="preserve">MEЖГОСУДАРСТВЕННЫЙ СТАНДАРТ </w:t>
      </w:r>
    </w:p>
    <w:p w:rsidR="00227E66" w:rsidRPr="00227E66" w:rsidRDefault="00227E66" w:rsidP="00227E66">
      <w:pPr>
        <w:shd w:val="clear" w:color="auto" w:fill="FFFFFF"/>
        <w:spacing w:before="144" w:after="240"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eastAsia="ru-RU"/>
        </w:rPr>
        <w:br/>
      </w:r>
      <w:r w:rsidRPr="00227E66">
        <w:rPr>
          <w:rFonts w:ascii="Arial" w:eastAsia="Times New Roman" w:hAnsi="Arial" w:cs="Arial"/>
          <w:b/>
          <w:bCs/>
          <w:color w:val="4C4C4C"/>
          <w:sz w:val="23"/>
          <w:szCs w:val="23"/>
          <w:lang w:eastAsia="ru-RU"/>
        </w:rPr>
        <w:br/>
        <w:t>СПЛАВЫ МЕДНО-ЦИНКОВЫЕ (ЛАТУНИ) ЛИТЕЙНЫЕ</w:t>
      </w:r>
    </w:p>
    <w:p w:rsidR="00227E66" w:rsidRPr="00227E66" w:rsidRDefault="00227E66" w:rsidP="00227E66">
      <w:pPr>
        <w:shd w:val="clear" w:color="auto" w:fill="FFFFFF"/>
        <w:spacing w:before="144" w:after="240"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eastAsia="ru-RU"/>
        </w:rPr>
        <w:t>Марки</w:t>
      </w:r>
    </w:p>
    <w:p w:rsidR="00227E66" w:rsidRPr="00227E66" w:rsidRDefault="00227E66" w:rsidP="00227E66">
      <w:pPr>
        <w:shd w:val="clear" w:color="auto" w:fill="FFFFFF"/>
        <w:spacing w:before="144" w:after="144"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val="en-US" w:eastAsia="ru-RU"/>
        </w:rPr>
        <w:t xml:space="preserve">Cast copper-zinc alloys (brass). </w:t>
      </w:r>
      <w:proofErr w:type="spellStart"/>
      <w:r w:rsidRPr="00227E66">
        <w:rPr>
          <w:rFonts w:ascii="Arial" w:eastAsia="Times New Roman" w:hAnsi="Arial" w:cs="Arial"/>
          <w:b/>
          <w:bCs/>
          <w:color w:val="4C4C4C"/>
          <w:sz w:val="23"/>
          <w:szCs w:val="23"/>
          <w:lang w:eastAsia="ru-RU"/>
        </w:rPr>
        <w:t>Grades</w:t>
      </w:r>
      <w:proofErr w:type="spellEnd"/>
      <w:r w:rsidRPr="00227E66">
        <w:rPr>
          <w:rFonts w:ascii="Arial" w:eastAsia="Times New Roman" w:hAnsi="Arial" w:cs="Arial"/>
          <w:b/>
          <w:bCs/>
          <w:color w:val="4C4C4C"/>
          <w:sz w:val="23"/>
          <w:szCs w:val="23"/>
          <w:lang w:eastAsia="ru-RU"/>
        </w:rPr>
        <w:t xml:space="preserve"> </w:t>
      </w: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 xml:space="preserve">ОКП 41 1330 </w:t>
      </w: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Дата введения</w:t>
      </w:r>
      <w:r w:rsidRPr="00227E66">
        <w:rPr>
          <w:rFonts w:ascii="Arial" w:eastAsia="Times New Roman" w:hAnsi="Arial" w:cs="Arial"/>
          <w:b/>
          <w:bCs/>
          <w:color w:val="4C4C4C"/>
          <w:sz w:val="23"/>
          <w:szCs w:val="23"/>
          <w:lang w:eastAsia="ru-RU"/>
        </w:rPr>
        <w:t xml:space="preserve"> 1995-01-01 </w:t>
      </w:r>
    </w:p>
    <w:p w:rsidR="00227E66" w:rsidRPr="00227E66" w:rsidRDefault="00227E66" w:rsidP="00227E66">
      <w:pPr>
        <w:shd w:val="clear" w:color="auto" w:fill="FFFFFF"/>
        <w:spacing w:before="144" w:after="144"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eastAsia="ru-RU"/>
        </w:rPr>
        <w:br/>
      </w:r>
      <w:r w:rsidRPr="00227E66">
        <w:rPr>
          <w:rFonts w:ascii="Arial" w:eastAsia="Times New Roman" w:hAnsi="Arial" w:cs="Arial"/>
          <w:b/>
          <w:bCs/>
          <w:color w:val="4C4C4C"/>
          <w:sz w:val="23"/>
          <w:szCs w:val="23"/>
          <w:lang w:eastAsia="ru-RU"/>
        </w:rPr>
        <w:br/>
        <w:t xml:space="preserve">Предисловие </w:t>
      </w: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 РАЗРАБОТАН Межгосударственным техническим комитетом 106 "</w:t>
      </w:r>
      <w:proofErr w:type="spellStart"/>
      <w:r w:rsidRPr="00227E66">
        <w:rPr>
          <w:rFonts w:ascii="Arial" w:eastAsia="Times New Roman" w:hAnsi="Arial" w:cs="Arial"/>
          <w:color w:val="4C4C4C"/>
          <w:sz w:val="23"/>
          <w:szCs w:val="23"/>
          <w:lang w:eastAsia="ru-RU"/>
        </w:rPr>
        <w:t>Цветметпрокат</w:t>
      </w:r>
      <w:proofErr w:type="spellEnd"/>
      <w:r w:rsidRPr="00227E66">
        <w:rPr>
          <w:rFonts w:ascii="Arial" w:eastAsia="Times New Roman" w:hAnsi="Arial" w:cs="Arial"/>
          <w:color w:val="4C4C4C"/>
          <w:sz w:val="23"/>
          <w:szCs w:val="23"/>
          <w:lang w:eastAsia="ru-RU"/>
        </w:rPr>
        <w:t>", Государственным научно-исследовательским и проектным институтом цветных металлов (</w:t>
      </w:r>
      <w:proofErr w:type="spellStart"/>
      <w:r w:rsidRPr="00227E66">
        <w:rPr>
          <w:rFonts w:ascii="Arial" w:eastAsia="Times New Roman" w:hAnsi="Arial" w:cs="Arial"/>
          <w:color w:val="4C4C4C"/>
          <w:sz w:val="23"/>
          <w:szCs w:val="23"/>
          <w:lang w:eastAsia="ru-RU"/>
        </w:rPr>
        <w:t>Гипроцветметобработка</w:t>
      </w:r>
      <w:proofErr w:type="spellEnd"/>
      <w:r w:rsidRPr="00227E66">
        <w:rPr>
          <w:rFonts w:ascii="Arial" w:eastAsia="Times New Roman" w:hAnsi="Arial" w:cs="Arial"/>
          <w:color w:val="4C4C4C"/>
          <w:sz w:val="23"/>
          <w:szCs w:val="23"/>
          <w:lang w:eastAsia="ru-RU"/>
        </w:rPr>
        <w:t>)</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ВНЕСЕН Госстандартом России</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 ПРИНЯТ Межгосударственным Советом по стандартизации, метрологии и сертификации (протокол N 4-93 от</w:t>
      </w:r>
      <w:r w:rsidRPr="00227E66">
        <w:rPr>
          <w:rFonts w:ascii="Arial" w:eastAsia="Times New Roman" w:hAnsi="Arial" w:cs="Arial"/>
          <w:b/>
          <w:bCs/>
          <w:color w:val="4C4C4C"/>
          <w:sz w:val="23"/>
          <w:szCs w:val="23"/>
          <w:lang w:eastAsia="ru-RU"/>
        </w:rPr>
        <w:t xml:space="preserve"> 19 октября 1993 г.</w:t>
      </w:r>
      <w:r w:rsidRPr="00227E66">
        <w:rPr>
          <w:rFonts w:ascii="Arial" w:eastAsia="Times New Roman" w:hAnsi="Arial" w:cs="Arial"/>
          <w:color w:val="4C4C4C"/>
          <w:sz w:val="23"/>
          <w:szCs w:val="23"/>
          <w:lang w:eastAsia="ru-RU"/>
        </w:rPr>
        <w:t>)</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За принятие проголосовали: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4"/>
        <w:gridCol w:w="6652"/>
      </w:tblGrid>
      <w:tr w:rsidR="00227E66" w:rsidRPr="00227E66" w:rsidTr="00227E66">
        <w:trPr>
          <w:trHeight w:val="15"/>
          <w:tblCellSpacing w:w="15" w:type="dxa"/>
        </w:trPr>
        <w:tc>
          <w:tcPr>
            <w:tcW w:w="3881"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665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r>
      <w:tr w:rsidR="00227E66" w:rsidRPr="00227E66" w:rsidTr="00227E66">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Наименование государства</w:t>
            </w:r>
          </w:p>
        </w:tc>
        <w:tc>
          <w:tcPr>
            <w:tcW w:w="665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Наименование национального органа </w:t>
            </w:r>
            <w:proofErr w:type="spellStart"/>
            <w:r w:rsidRPr="00227E66">
              <w:rPr>
                <w:rFonts w:ascii="Arial" w:eastAsia="Times New Roman" w:hAnsi="Arial" w:cs="Arial"/>
                <w:color w:val="4C4C4C"/>
                <w:sz w:val="23"/>
                <w:szCs w:val="23"/>
                <w:lang w:eastAsia="ru-RU"/>
              </w:rPr>
              <w:t>пo</w:t>
            </w:r>
            <w:proofErr w:type="spellEnd"/>
            <w:r w:rsidRPr="00227E66">
              <w:rPr>
                <w:rFonts w:ascii="Arial" w:eastAsia="Times New Roman" w:hAnsi="Arial" w:cs="Arial"/>
                <w:color w:val="4C4C4C"/>
                <w:sz w:val="23"/>
                <w:szCs w:val="23"/>
                <w:lang w:eastAsia="ru-RU"/>
              </w:rPr>
              <w:t xml:space="preserve"> стандартизации</w:t>
            </w:r>
          </w:p>
        </w:tc>
      </w:tr>
      <w:tr w:rsidR="00227E66" w:rsidRPr="00227E66" w:rsidTr="00227E66">
        <w:trPr>
          <w:tblCellSpacing w:w="15" w:type="dxa"/>
        </w:trPr>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Республика Армения</w:t>
            </w:r>
          </w:p>
        </w:tc>
        <w:tc>
          <w:tcPr>
            <w:tcW w:w="665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Армгосстандарт</w:t>
            </w:r>
            <w:proofErr w:type="spellEnd"/>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Республика Беларусь</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Белстандарт</w:t>
            </w:r>
            <w:proofErr w:type="spellEnd"/>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Республика Казахстан</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Госстандарт республики Казахстан</w:t>
            </w:r>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Республика Молдова</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Молдовастандарт</w:t>
            </w:r>
            <w:proofErr w:type="spellEnd"/>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Российская Федерация</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Госстандарт России</w:t>
            </w:r>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Туркменистан</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Туркменгосстандарт</w:t>
            </w:r>
            <w:proofErr w:type="spellEnd"/>
          </w:p>
        </w:tc>
      </w:tr>
      <w:tr w:rsidR="00227E66" w:rsidRPr="00227E66" w:rsidTr="00227E66">
        <w:trPr>
          <w:tblCellSpacing w:w="15" w:type="dxa"/>
        </w:trPr>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Республика Узбекистан</w:t>
            </w:r>
          </w:p>
        </w:tc>
        <w:tc>
          <w:tcPr>
            <w:tcW w:w="665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Узгосстандарт</w:t>
            </w:r>
            <w:proofErr w:type="spellEnd"/>
          </w:p>
        </w:tc>
      </w:tr>
      <w:tr w:rsidR="00227E66" w:rsidRPr="00227E66" w:rsidTr="00227E66">
        <w:trPr>
          <w:tblCellSpacing w:w="15" w:type="dxa"/>
        </w:trPr>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Украина</w:t>
            </w:r>
          </w:p>
        </w:tc>
        <w:tc>
          <w:tcPr>
            <w:tcW w:w="665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Госстандарт Украины</w:t>
            </w:r>
          </w:p>
        </w:tc>
      </w:tr>
    </w:tbl>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 Постановлением Комитета Российской Федерации по стандартизации, метрологии и сертификации от</w:t>
      </w:r>
      <w:r w:rsidRPr="00227E66">
        <w:rPr>
          <w:rFonts w:ascii="Arial" w:eastAsia="Times New Roman" w:hAnsi="Arial" w:cs="Arial"/>
          <w:b/>
          <w:bCs/>
          <w:color w:val="4C4C4C"/>
          <w:sz w:val="23"/>
          <w:szCs w:val="23"/>
          <w:lang w:eastAsia="ru-RU"/>
        </w:rPr>
        <w:t xml:space="preserve"> 02.06.94 </w:t>
      </w:r>
      <w:r w:rsidRPr="00227E66">
        <w:rPr>
          <w:rFonts w:ascii="Arial" w:eastAsia="Times New Roman" w:hAnsi="Arial" w:cs="Arial"/>
          <w:color w:val="4C4C4C"/>
          <w:sz w:val="23"/>
          <w:szCs w:val="23"/>
          <w:lang w:eastAsia="ru-RU"/>
        </w:rPr>
        <w:t>N 160 межгосударственный стандарт ГОСТ 17711-93 введен в действие непосредственно в качестве государственного стандарта Российской Федерации с</w:t>
      </w:r>
      <w:r w:rsidRPr="00227E66">
        <w:rPr>
          <w:rFonts w:ascii="Arial" w:eastAsia="Times New Roman" w:hAnsi="Arial" w:cs="Arial"/>
          <w:b/>
          <w:bCs/>
          <w:color w:val="4C4C4C"/>
          <w:sz w:val="23"/>
          <w:szCs w:val="23"/>
          <w:lang w:eastAsia="ru-RU"/>
        </w:rPr>
        <w:t xml:space="preserve"> 1 января 1995 г.</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 ВЗАМЕН ГОСТ 17711-80</w:t>
      </w:r>
      <w:r w:rsidRPr="00227E66">
        <w:rPr>
          <w:rFonts w:ascii="Arial" w:eastAsia="Times New Roman" w:hAnsi="Arial" w:cs="Arial"/>
          <w:color w:val="4C4C4C"/>
          <w:sz w:val="23"/>
          <w:szCs w:val="23"/>
          <w:lang w:eastAsia="ru-RU"/>
        </w:rPr>
        <w:br/>
      </w:r>
    </w:p>
    <w:p w:rsidR="00227E66" w:rsidRPr="00227E66" w:rsidRDefault="00227E66" w:rsidP="00227E66">
      <w:pPr>
        <w:shd w:val="clear" w:color="auto" w:fill="FFFFFF"/>
        <w:spacing w:before="144" w:after="144" w:line="288" w:lineRule="atLeast"/>
        <w:rPr>
          <w:rFonts w:ascii="Arial" w:eastAsia="Times New Roman" w:hAnsi="Arial" w:cs="Arial"/>
          <w:b/>
          <w:bCs/>
          <w:color w:val="4C4C4C"/>
          <w:sz w:val="23"/>
          <w:szCs w:val="23"/>
          <w:lang w:eastAsia="ru-RU"/>
        </w:rPr>
      </w:pPr>
      <w:r w:rsidRPr="00227E66">
        <w:rPr>
          <w:rFonts w:ascii="Arial" w:eastAsia="Times New Roman" w:hAnsi="Arial" w:cs="Arial"/>
          <w:b/>
          <w:bCs/>
          <w:color w:val="4C4C4C"/>
          <w:sz w:val="23"/>
          <w:szCs w:val="23"/>
          <w:lang w:eastAsia="ru-RU"/>
        </w:rPr>
        <w:t xml:space="preserve">ИНФОРМАЦИОННЫЕ ДАННЫЕ </w:t>
      </w: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b/>
          <w:bCs/>
          <w:color w:val="4C4C4C"/>
          <w:sz w:val="23"/>
          <w:szCs w:val="23"/>
          <w:lang w:eastAsia="ru-RU"/>
        </w:rPr>
        <w:t>ССЫЛОЧНЫЕ НОРМАТИВНО-ТЕХНИЧЕСКИЕ ДОКУМЕНТЫ</w:t>
      </w:r>
      <w:r w:rsidRPr="00227E66">
        <w:rPr>
          <w:rFonts w:ascii="Arial" w:eastAsia="Times New Roman" w:hAnsi="Arial" w:cs="Arial"/>
          <w:color w:val="4C4C4C"/>
          <w:sz w:val="23"/>
          <w:szCs w:val="23"/>
          <w:lang w:eastAsia="ru-RU"/>
        </w:rPr>
        <w:t xml:space="preserve"> </w:t>
      </w:r>
    </w:p>
    <w:p w:rsidR="00227E66" w:rsidRPr="00227E66" w:rsidRDefault="00227E66" w:rsidP="00227E66">
      <w:pPr>
        <w:shd w:val="clear" w:color="auto" w:fill="FFFFFF"/>
        <w:spacing w:before="144" w:after="150" w:line="288" w:lineRule="atLeast"/>
        <w:rPr>
          <w:rFonts w:ascii="Arial" w:eastAsia="Times New Roman" w:hAnsi="Arial" w:cs="Arial"/>
          <w:color w:val="4C4C4C"/>
          <w:sz w:val="23"/>
          <w:szCs w:val="23"/>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74"/>
        <w:gridCol w:w="3926"/>
      </w:tblGrid>
      <w:tr w:rsidR="00227E66" w:rsidRPr="00227E66" w:rsidTr="00227E66">
        <w:trPr>
          <w:trHeight w:val="15"/>
          <w:tblCellSpacing w:w="15" w:type="dxa"/>
        </w:trPr>
        <w:tc>
          <w:tcPr>
            <w:tcW w:w="572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3881"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r>
      <w:tr w:rsidR="00227E66" w:rsidRPr="00227E66" w:rsidTr="00227E66">
        <w:trPr>
          <w:tblCellSpacing w:w="15" w:type="dxa"/>
        </w:trPr>
        <w:tc>
          <w:tcPr>
            <w:tcW w:w="572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Обозначение НДТ, на который дана ссылка</w:t>
            </w:r>
          </w:p>
        </w:tc>
        <w:tc>
          <w:tcPr>
            <w:tcW w:w="388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Номер пункта</w:t>
            </w:r>
          </w:p>
        </w:tc>
      </w:tr>
      <w:tr w:rsidR="00227E66" w:rsidRPr="00227E66" w:rsidTr="00227E66">
        <w:trPr>
          <w:tblCellSpacing w:w="15" w:type="dxa"/>
        </w:trPr>
        <w:tc>
          <w:tcPr>
            <w:tcW w:w="572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ГОСТ 1652.1-77-ГОСТ 1652.13-77</w:t>
            </w:r>
          </w:p>
        </w:tc>
        <w:tc>
          <w:tcPr>
            <w:tcW w:w="388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w:t>
            </w:r>
          </w:p>
        </w:tc>
      </w:tr>
      <w:tr w:rsidR="00227E66" w:rsidRPr="00227E66" w:rsidTr="00227E66">
        <w:trPr>
          <w:tblCellSpacing w:w="15" w:type="dxa"/>
        </w:trPr>
        <w:tc>
          <w:tcPr>
            <w:tcW w:w="572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ГОСТ 1497-84</w:t>
            </w:r>
          </w:p>
        </w:tc>
        <w:tc>
          <w:tcPr>
            <w:tcW w:w="3881"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w:t>
            </w:r>
          </w:p>
        </w:tc>
      </w:tr>
      <w:tr w:rsidR="00227E66" w:rsidRPr="00227E66" w:rsidTr="00227E66">
        <w:trPr>
          <w:tblCellSpacing w:w="15" w:type="dxa"/>
        </w:trPr>
        <w:tc>
          <w:tcPr>
            <w:tcW w:w="572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ГОСТ 9012-59</w:t>
            </w:r>
          </w:p>
        </w:tc>
        <w:tc>
          <w:tcPr>
            <w:tcW w:w="388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w:t>
            </w:r>
          </w:p>
        </w:tc>
      </w:tr>
    </w:tbl>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Настоящий стандарт устанавливает марки медно-цинковых сплавов (латуней) в отливках.</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 Марки и химический состав медно-цинковых сплавов должны соответствовать требованиям, приведенным в табл.1; механические свойства - приведенным в табл.2.</w:t>
      </w:r>
      <w:r w:rsidRPr="00227E66">
        <w:rPr>
          <w:rFonts w:ascii="Arial" w:eastAsia="Times New Roman" w:hAnsi="Arial" w:cs="Arial"/>
          <w:color w:val="4C4C4C"/>
          <w:sz w:val="23"/>
          <w:szCs w:val="23"/>
          <w:lang w:eastAsia="ru-RU"/>
        </w:rPr>
        <w:br/>
      </w:r>
    </w:p>
    <w:p w:rsidR="00E70652" w:rsidRDefault="00E70652" w:rsidP="00227E66">
      <w:pPr>
        <w:shd w:val="clear" w:color="auto" w:fill="FFFFFF"/>
        <w:spacing w:before="144" w:after="144" w:line="288" w:lineRule="atLeast"/>
        <w:rPr>
          <w:rFonts w:ascii="Arial" w:eastAsia="Times New Roman" w:hAnsi="Arial" w:cs="Arial"/>
          <w:color w:val="4C4C4C"/>
          <w:sz w:val="23"/>
          <w:szCs w:val="23"/>
          <w:lang w:val="en-US" w:eastAsia="ru-RU"/>
        </w:rPr>
      </w:pPr>
    </w:p>
    <w:p w:rsidR="00E70652" w:rsidRDefault="00E70652" w:rsidP="00227E66">
      <w:pPr>
        <w:shd w:val="clear" w:color="auto" w:fill="FFFFFF"/>
        <w:spacing w:before="144" w:after="144" w:line="288" w:lineRule="atLeast"/>
        <w:rPr>
          <w:rFonts w:ascii="Arial" w:eastAsia="Times New Roman" w:hAnsi="Arial" w:cs="Arial"/>
          <w:color w:val="4C4C4C"/>
          <w:sz w:val="23"/>
          <w:szCs w:val="23"/>
          <w:lang w:val="en-US" w:eastAsia="ru-RU"/>
        </w:rPr>
      </w:pPr>
    </w:p>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bookmarkStart w:id="0" w:name="_GoBack"/>
      <w:bookmarkEnd w:id="0"/>
      <w:r w:rsidRPr="00227E66">
        <w:rPr>
          <w:rFonts w:ascii="Arial" w:eastAsia="Times New Roman" w:hAnsi="Arial" w:cs="Arial"/>
          <w:color w:val="4C4C4C"/>
          <w:sz w:val="23"/>
          <w:szCs w:val="23"/>
          <w:lang w:eastAsia="ru-RU"/>
        </w:rPr>
        <w:lastRenderedPageBreak/>
        <w:t xml:space="preserve">Таблица 1 </w:t>
      </w:r>
    </w:p>
    <w:p w:rsidR="00227E66" w:rsidRPr="00227E66" w:rsidRDefault="00227E66" w:rsidP="00227E66">
      <w:pPr>
        <w:shd w:val="clear" w:color="auto" w:fill="FFFFFF"/>
        <w:spacing w:before="144" w:after="150" w:line="288" w:lineRule="atLeast"/>
        <w:rPr>
          <w:rFonts w:ascii="Arial" w:eastAsia="Times New Roman" w:hAnsi="Arial" w:cs="Arial"/>
          <w:color w:val="4C4C4C"/>
          <w:sz w:val="23"/>
          <w:szCs w:val="23"/>
          <w:lang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15"/>
        <w:gridCol w:w="1438"/>
        <w:gridCol w:w="617"/>
        <w:gridCol w:w="403"/>
        <w:gridCol w:w="627"/>
        <w:gridCol w:w="788"/>
        <w:gridCol w:w="963"/>
        <w:gridCol w:w="875"/>
        <w:gridCol w:w="686"/>
        <w:gridCol w:w="770"/>
        <w:gridCol w:w="863"/>
      </w:tblGrid>
      <w:tr w:rsidR="00227E66" w:rsidRPr="00227E66" w:rsidTr="005779E1">
        <w:trPr>
          <w:trHeight w:val="15"/>
          <w:tblCellSpacing w:w="15" w:type="dxa"/>
        </w:trPr>
        <w:tc>
          <w:tcPr>
            <w:tcW w:w="1370"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408"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587"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000" w:type="dxa"/>
            <w:gridSpan w:val="2"/>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58"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93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845"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656"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40"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818"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r>
      <w:tr w:rsidR="00227E66" w:rsidRPr="00227E66" w:rsidTr="005779E1">
        <w:trPr>
          <w:tblCellSpacing w:w="15" w:type="dxa"/>
        </w:trPr>
        <w:tc>
          <w:tcPr>
            <w:tcW w:w="137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Наименование сплава </w:t>
            </w:r>
          </w:p>
        </w:tc>
        <w:tc>
          <w:tcPr>
            <w:tcW w:w="140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Марка сплава </w:t>
            </w:r>
          </w:p>
        </w:tc>
        <w:tc>
          <w:tcPr>
            <w:tcW w:w="6547"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Химический состав, %</w:t>
            </w: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6547"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основных компонентов</w:t>
            </w:r>
          </w:p>
        </w:tc>
      </w:tr>
      <w:tr w:rsidR="00227E66" w:rsidRPr="00227E66" w:rsidTr="005779E1">
        <w:trPr>
          <w:tblCellSpacing w:w="15" w:type="dxa"/>
        </w:trPr>
        <w:tc>
          <w:tcPr>
            <w:tcW w:w="137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0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99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меди</w:t>
            </w:r>
          </w:p>
        </w:tc>
        <w:tc>
          <w:tcPr>
            <w:tcW w:w="59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алюминия</w:t>
            </w:r>
          </w:p>
        </w:tc>
        <w:tc>
          <w:tcPr>
            <w:tcW w:w="7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железа</w:t>
            </w:r>
          </w:p>
        </w:tc>
        <w:tc>
          <w:tcPr>
            <w:tcW w:w="9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марганца</w:t>
            </w:r>
          </w:p>
        </w:tc>
        <w:tc>
          <w:tcPr>
            <w:tcW w:w="845"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кремния</w:t>
            </w:r>
          </w:p>
        </w:tc>
        <w:tc>
          <w:tcPr>
            <w:tcW w:w="65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олова</w:t>
            </w:r>
          </w:p>
        </w:tc>
        <w:tc>
          <w:tcPr>
            <w:tcW w:w="7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свинца</w:t>
            </w:r>
          </w:p>
        </w:tc>
        <w:tc>
          <w:tcPr>
            <w:tcW w:w="8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цинка</w:t>
            </w:r>
          </w:p>
        </w:tc>
      </w:tr>
      <w:tr w:rsidR="00227E66" w:rsidRPr="00227E66" w:rsidTr="005779E1">
        <w:trPr>
          <w:tblCellSpacing w:w="15" w:type="dxa"/>
        </w:trPr>
        <w:tc>
          <w:tcPr>
            <w:tcW w:w="137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свинцовая</w:t>
            </w:r>
          </w:p>
        </w:tc>
        <w:tc>
          <w:tcPr>
            <w:tcW w:w="140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w:t>
            </w:r>
          </w:p>
        </w:tc>
        <w:tc>
          <w:tcPr>
            <w:tcW w:w="99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57,0-61,0</w:t>
            </w:r>
          </w:p>
        </w:tc>
        <w:tc>
          <w:tcPr>
            <w:tcW w:w="59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0,8-2,0</w:t>
            </w:r>
          </w:p>
        </w:tc>
        <w:tc>
          <w:tcPr>
            <w:tcW w:w="81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свинцовая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ЛЦ40Сд</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58,0-61,0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0,8-2,0</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ЛЦ40Мц1,5</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57,0-60,0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1,0-2,0</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железная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ЛЦ40Мц3Ж</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53,0-58,0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0,5-1,5</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3,0-4,0</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алюминиевая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ЛЦ40Мц3А</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55,0-58,5</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0,5-1,5</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2,5-3,5</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свинцовая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ЛЦ38Мц2С2</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57,0</w:t>
            </w:r>
            <w:r w:rsidRPr="00227E66">
              <w:rPr>
                <w:rFonts w:ascii="Arial" w:eastAsia="Times New Roman" w:hAnsi="Arial" w:cs="Arial"/>
                <w:color w:val="4C4C4C"/>
                <w:sz w:val="23"/>
                <w:szCs w:val="23"/>
                <w:lang w:eastAsia="ru-RU"/>
              </w:rPr>
              <w:br/>
              <w:t>60,0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1,5-2,5</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1,5-2,5</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Осталь</w:t>
            </w:r>
            <w:proofErr w:type="spellEnd"/>
            <w:r w:rsidRPr="00227E66">
              <w:rPr>
                <w:rFonts w:ascii="Arial" w:eastAsia="Times New Roman" w:hAnsi="Arial" w:cs="Arial"/>
                <w:color w:val="4C4C4C"/>
                <w:sz w:val="23"/>
                <w:szCs w:val="23"/>
                <w:lang w:eastAsia="ru-RU"/>
              </w:rPr>
              <w:t xml:space="preserve">- </w:t>
            </w:r>
            <w:proofErr w:type="spellStart"/>
            <w:r w:rsidRPr="00227E66">
              <w:rPr>
                <w:rFonts w:ascii="Arial" w:eastAsia="Times New Roman" w:hAnsi="Arial" w:cs="Arial"/>
                <w:color w:val="4C4C4C"/>
                <w:sz w:val="23"/>
                <w:szCs w:val="23"/>
                <w:lang w:eastAsia="ru-RU"/>
              </w:rPr>
              <w:t>ное</w:t>
            </w:r>
            <w:proofErr w:type="spellEnd"/>
            <w:r w:rsidRPr="00227E66">
              <w:rPr>
                <w:rFonts w:ascii="Arial" w:eastAsia="Times New Roman" w:hAnsi="Arial" w:cs="Arial"/>
                <w:color w:val="4C4C4C"/>
                <w:sz w:val="23"/>
                <w:szCs w:val="23"/>
                <w:lang w:eastAsia="ru-RU"/>
              </w:rPr>
              <w:t xml:space="preserve"> </w:t>
            </w: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свинцово- кремниста</w:t>
            </w:r>
            <w:r w:rsidRPr="00227E66">
              <w:rPr>
                <w:rFonts w:ascii="Arial" w:eastAsia="Times New Roman" w:hAnsi="Arial" w:cs="Arial"/>
                <w:color w:val="4C4C4C"/>
                <w:sz w:val="23"/>
                <w:szCs w:val="23"/>
                <w:lang w:eastAsia="ru-RU"/>
              </w:rPr>
              <w:lastRenderedPageBreak/>
              <w:t>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ЛЦ37Мц2С2К</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57-60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1,5-2,5</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0,5-1,3</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1,5-3,0</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Латунь алюминиевая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ЛЦ30А3</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66,0-68,0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2,0-3,0</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оловянно- свинцовая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ЛЦ25С2</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70,0-75,0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0,5-1,5</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1,0-3,0</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алюминиево- железо- марганцовая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ЛЦ23А6Ж3Мц2</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64,0-68,0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4,0-7,0</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2,0-4,0</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1,5-3,0</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кремнистая</w:t>
            </w:r>
          </w:p>
        </w:tc>
        <w:tc>
          <w:tcPr>
            <w:tcW w:w="140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ЛЦ16К4</w:t>
            </w:r>
          </w:p>
        </w:tc>
        <w:tc>
          <w:tcPr>
            <w:tcW w:w="99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78,0-81,0</w:t>
            </w:r>
          </w:p>
        </w:tc>
        <w:tc>
          <w:tcPr>
            <w:tcW w:w="59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3,0-4,5</w:t>
            </w:r>
          </w:p>
        </w:tc>
        <w:tc>
          <w:tcPr>
            <w:tcW w:w="65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1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5779E1">
        <w:trPr>
          <w:tblCellSpacing w:w="15" w:type="dxa"/>
        </w:trPr>
        <w:tc>
          <w:tcPr>
            <w:tcW w:w="137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кремнисто- свинцовая</w:t>
            </w:r>
          </w:p>
        </w:tc>
        <w:tc>
          <w:tcPr>
            <w:tcW w:w="140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ЛЦ14К3С3</w:t>
            </w:r>
          </w:p>
        </w:tc>
        <w:tc>
          <w:tcPr>
            <w:tcW w:w="990"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77-81</w:t>
            </w:r>
          </w:p>
        </w:tc>
        <w:tc>
          <w:tcPr>
            <w:tcW w:w="59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5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84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2,5-4,5</w:t>
            </w:r>
          </w:p>
        </w:tc>
        <w:tc>
          <w:tcPr>
            <w:tcW w:w="65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4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2,0-4,0</w:t>
            </w:r>
          </w:p>
        </w:tc>
        <w:tc>
          <w:tcPr>
            <w:tcW w:w="81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bl>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 xml:space="preserve">Продолжение табл.1 </w:t>
      </w:r>
    </w:p>
    <w:p w:rsidR="00227E66" w:rsidRPr="00227E66" w:rsidRDefault="00227E66" w:rsidP="00227E66">
      <w:pPr>
        <w:shd w:val="clear" w:color="auto" w:fill="FFFFFF"/>
        <w:spacing w:before="144" w:after="150" w:line="288" w:lineRule="atLeast"/>
        <w:rPr>
          <w:rFonts w:ascii="Arial" w:eastAsia="Times New Roman" w:hAnsi="Arial" w:cs="Arial"/>
          <w:color w:val="4C4C4C"/>
          <w:sz w:val="23"/>
          <w:szCs w:val="23"/>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3"/>
        <w:gridCol w:w="1615"/>
        <w:gridCol w:w="850"/>
        <w:gridCol w:w="713"/>
        <w:gridCol w:w="754"/>
        <w:gridCol w:w="892"/>
        <w:gridCol w:w="719"/>
        <w:gridCol w:w="631"/>
        <w:gridCol w:w="777"/>
        <w:gridCol w:w="696"/>
        <w:gridCol w:w="611"/>
        <w:gridCol w:w="715"/>
      </w:tblGrid>
      <w:tr w:rsidR="00227E66" w:rsidRPr="00227E66" w:rsidTr="00227E66">
        <w:trPr>
          <w:trHeight w:val="15"/>
          <w:tblCellSpacing w:w="15" w:type="dxa"/>
        </w:trPr>
        <w:tc>
          <w:tcPr>
            <w:tcW w:w="2587"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66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924"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554"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924"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554"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739"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r>
      <w:tr w:rsidR="00227E66" w:rsidRPr="00227E66" w:rsidTr="00227E66">
        <w:trPr>
          <w:tblCellSpacing w:w="15" w:type="dxa"/>
        </w:trPr>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Наименование сплава </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Марка сплава </w:t>
            </w:r>
          </w:p>
        </w:tc>
        <w:tc>
          <w:tcPr>
            <w:tcW w:w="7392" w:type="dxa"/>
            <w:gridSpan w:val="10"/>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Химический состав, %</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7392" w:type="dxa"/>
            <w:gridSpan w:val="10"/>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основных компонентов</w:t>
            </w:r>
          </w:p>
        </w:tc>
      </w:tr>
      <w:tr w:rsidR="00227E66" w:rsidRPr="00227E66" w:rsidTr="00227E66">
        <w:trPr>
          <w:tblCellSpacing w:w="15" w:type="dxa"/>
        </w:trPr>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свинца</w:t>
            </w:r>
          </w:p>
        </w:tc>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крем- </w:t>
            </w:r>
            <w:proofErr w:type="spellStart"/>
            <w:r w:rsidRPr="00227E66">
              <w:rPr>
                <w:rFonts w:ascii="Arial" w:eastAsia="Times New Roman" w:hAnsi="Arial" w:cs="Arial"/>
                <w:color w:val="4C4C4C"/>
                <w:sz w:val="23"/>
                <w:szCs w:val="23"/>
                <w:lang w:eastAsia="ru-RU"/>
              </w:rPr>
              <w:t>ния</w:t>
            </w:r>
            <w:proofErr w:type="spellEnd"/>
          </w:p>
        </w:tc>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олова</w:t>
            </w:r>
          </w:p>
        </w:tc>
        <w:tc>
          <w:tcPr>
            <w:tcW w:w="92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сурьмы</w:t>
            </w:r>
          </w:p>
        </w:tc>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мар</w:t>
            </w:r>
            <w:proofErr w:type="spellEnd"/>
            <w:r w:rsidRPr="00227E66">
              <w:rPr>
                <w:rFonts w:ascii="Arial" w:eastAsia="Times New Roman" w:hAnsi="Arial" w:cs="Arial"/>
                <w:color w:val="4C4C4C"/>
                <w:sz w:val="23"/>
                <w:szCs w:val="23"/>
                <w:lang w:eastAsia="ru-RU"/>
              </w:rPr>
              <w:t>- ганца</w:t>
            </w:r>
          </w:p>
        </w:tc>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же- </w:t>
            </w:r>
            <w:proofErr w:type="spellStart"/>
            <w:r w:rsidRPr="00227E66">
              <w:rPr>
                <w:rFonts w:ascii="Arial" w:eastAsia="Times New Roman" w:hAnsi="Arial" w:cs="Arial"/>
                <w:color w:val="4C4C4C"/>
                <w:sz w:val="23"/>
                <w:szCs w:val="23"/>
                <w:lang w:eastAsia="ru-RU"/>
              </w:rPr>
              <w:t>леза</w:t>
            </w:r>
            <w:proofErr w:type="spellEnd"/>
          </w:p>
        </w:tc>
        <w:tc>
          <w:tcPr>
            <w:tcW w:w="92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алю</w:t>
            </w:r>
            <w:proofErr w:type="spellEnd"/>
            <w:r w:rsidRPr="00227E66">
              <w:rPr>
                <w:rFonts w:ascii="Arial" w:eastAsia="Times New Roman" w:hAnsi="Arial" w:cs="Arial"/>
                <w:color w:val="4C4C4C"/>
                <w:sz w:val="23"/>
                <w:szCs w:val="23"/>
                <w:lang w:eastAsia="ru-RU"/>
              </w:rPr>
              <w:t xml:space="preserve">- </w:t>
            </w:r>
            <w:proofErr w:type="spellStart"/>
            <w:r w:rsidRPr="00227E66">
              <w:rPr>
                <w:rFonts w:ascii="Arial" w:eastAsia="Times New Roman" w:hAnsi="Arial" w:cs="Arial"/>
                <w:color w:val="4C4C4C"/>
                <w:sz w:val="23"/>
                <w:szCs w:val="23"/>
                <w:lang w:eastAsia="ru-RU"/>
              </w:rPr>
              <w:t>миния</w:t>
            </w:r>
            <w:proofErr w:type="spellEnd"/>
          </w:p>
        </w:tc>
        <w:tc>
          <w:tcPr>
            <w:tcW w:w="55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фос</w:t>
            </w:r>
            <w:proofErr w:type="spellEnd"/>
            <w:r w:rsidRPr="00227E66">
              <w:rPr>
                <w:rFonts w:ascii="Arial" w:eastAsia="Times New Roman" w:hAnsi="Arial" w:cs="Arial"/>
                <w:color w:val="4C4C4C"/>
                <w:sz w:val="23"/>
                <w:szCs w:val="23"/>
                <w:lang w:eastAsia="ru-RU"/>
              </w:rPr>
              <w:t>- фора</w:t>
            </w:r>
          </w:p>
        </w:tc>
        <w:tc>
          <w:tcPr>
            <w:tcW w:w="739" w:type="dxa"/>
            <w:tcBorders>
              <w:top w:val="single" w:sz="6" w:space="0" w:color="000000"/>
              <w:left w:val="nil"/>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ни- </w:t>
            </w:r>
            <w:proofErr w:type="spellStart"/>
            <w:r w:rsidRPr="00227E66">
              <w:rPr>
                <w:rFonts w:ascii="Arial" w:eastAsia="Times New Roman" w:hAnsi="Arial" w:cs="Arial"/>
                <w:color w:val="4C4C4C"/>
                <w:sz w:val="23"/>
                <w:szCs w:val="23"/>
                <w:lang w:eastAsia="ru-RU"/>
              </w:rPr>
              <w:t>келя</w:t>
            </w:r>
            <w:proofErr w:type="spellEnd"/>
          </w:p>
        </w:tc>
        <w:tc>
          <w:tcPr>
            <w:tcW w:w="73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всего</w:t>
            </w:r>
          </w:p>
        </w:tc>
      </w:tr>
      <w:tr w:rsidR="00227E66" w:rsidRPr="00227E66" w:rsidTr="00227E66">
        <w:trPr>
          <w:tblCellSpacing w:w="15" w:type="dxa"/>
        </w:trPr>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свинцовая</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55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w:t>
            </w:r>
          </w:p>
        </w:tc>
        <w:tc>
          <w:tcPr>
            <w:tcW w:w="92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55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Латунь свинцовая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ЛЦ40Сд</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ЛЦ40Мц1,5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железная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ЛЦ40Мц3Ж</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0,6</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1,7</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алюминиевая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ЛЦ40Мц3А</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 свинцовая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ЛЦ38Мц2С2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0,4</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2,2</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марганцово-свинцово- кремнистая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ЛЦ37Мц2С2К</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As</w:t>
            </w:r>
            <w:proofErr w:type="spellEnd"/>
            <w:r w:rsidRPr="00227E66">
              <w:rPr>
                <w:rFonts w:ascii="Arial" w:eastAsia="Times New Roman" w:hAnsi="Arial" w:cs="Arial"/>
                <w:color w:val="4C4C4C"/>
                <w:sz w:val="23"/>
                <w:szCs w:val="23"/>
                <w:lang w:eastAsia="ru-RU"/>
              </w:rPr>
              <w:t xml:space="preserve"> 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roofErr w:type="spellStart"/>
            <w:r w:rsidRPr="00227E66">
              <w:rPr>
                <w:rFonts w:ascii="Arial" w:eastAsia="Times New Roman" w:hAnsi="Arial" w:cs="Arial"/>
                <w:color w:val="4C4C4C"/>
                <w:sz w:val="23"/>
                <w:szCs w:val="23"/>
                <w:lang w:eastAsia="ru-RU"/>
              </w:rPr>
              <w:t>Bi</w:t>
            </w:r>
            <w:proofErr w:type="spellEnd"/>
            <w:r w:rsidRPr="00227E66">
              <w:rPr>
                <w:rFonts w:ascii="Arial" w:eastAsia="Times New Roman" w:hAnsi="Arial" w:cs="Arial"/>
                <w:color w:val="4C4C4C"/>
                <w:sz w:val="23"/>
                <w:szCs w:val="23"/>
                <w:lang w:eastAsia="ru-RU"/>
              </w:rPr>
              <w:t xml:space="preserve"> 0,01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0,6</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1,7</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алюминиевая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ЛЦ30А3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2,6</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оловянно- свинцовая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ЛЦ25С2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алюминиево- железо- марганцовая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ЛЦ23А6Ж3Мц2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0,7</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1,8</w:t>
            </w:r>
          </w:p>
        </w:tc>
      </w:tr>
      <w:tr w:rsidR="00227E66" w:rsidRPr="00227E66" w:rsidTr="00227E66">
        <w:trPr>
          <w:tblCellSpacing w:w="15" w:type="dxa"/>
        </w:trPr>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Латунь кремнистая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ЛЦ16К4</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0,5</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0,8</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0,6</w:t>
            </w:r>
          </w:p>
        </w:tc>
        <w:tc>
          <w:tcPr>
            <w:tcW w:w="92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0,04</w:t>
            </w:r>
          </w:p>
        </w:tc>
        <w:tc>
          <w:tcPr>
            <w:tcW w:w="554"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2,5</w:t>
            </w:r>
          </w:p>
        </w:tc>
      </w:tr>
      <w:tr w:rsidR="00227E66" w:rsidRPr="00227E66" w:rsidTr="00227E66">
        <w:trPr>
          <w:tblCellSpacing w:w="15" w:type="dxa"/>
        </w:trPr>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Латунь кремнисто- </w:t>
            </w:r>
            <w:r w:rsidRPr="00227E66">
              <w:rPr>
                <w:rFonts w:ascii="Arial" w:eastAsia="Times New Roman" w:hAnsi="Arial" w:cs="Arial"/>
                <w:color w:val="4C4C4C"/>
                <w:sz w:val="23"/>
                <w:szCs w:val="23"/>
                <w:lang w:eastAsia="ru-RU"/>
              </w:rPr>
              <w:lastRenderedPageBreak/>
              <w:t>свинцовая</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ЛЦ14К3С3</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92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0,1</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55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0,6</w:t>
            </w:r>
          </w:p>
        </w:tc>
        <w:tc>
          <w:tcPr>
            <w:tcW w:w="92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0,3</w:t>
            </w:r>
          </w:p>
        </w:tc>
        <w:tc>
          <w:tcPr>
            <w:tcW w:w="55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0,2</w:t>
            </w:r>
          </w:p>
        </w:tc>
        <w:tc>
          <w:tcPr>
            <w:tcW w:w="73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2,3</w:t>
            </w:r>
          </w:p>
        </w:tc>
      </w:tr>
      <w:tr w:rsidR="00227E66" w:rsidRPr="00227E66" w:rsidTr="00227E66">
        <w:trPr>
          <w:tblCellSpacing w:w="15" w:type="dxa"/>
        </w:trPr>
        <w:tc>
          <w:tcPr>
            <w:tcW w:w="11642" w:type="dxa"/>
            <w:gridSpan w:val="1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Примечания:</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1. Массовая доля никеля в латунях допускается за счет меди и в сумму примесей не входит.</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2. По требованию потребителя массовая доля свинца в латуни марки ЛЦ40Сд допускается 1,2-2,0%.</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3. В латуни марки ЛЦ16К4 по согласованию изготовителя с потребителем допускается массовая доля алюминия до 0,1 % при изготовлении деталей, не требующих гидравлической плотности.</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4. В латуни марки ЛЦ40МцЗЖ, применяемой для отливки гребных винтов, массовая доля меди должна быть 55-58%, алюминия - не более 0,8%, свинца - не более 0,3%.</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5. Примеси, не указанные в табл.1, учитываются в общей сумме примесей.</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6. По согласованию изготовителя с потребителем в латуни марки ЛЦ38Мц2С2 массовая доля свинца допускается 1,2-2,0%.</w:t>
            </w:r>
          </w:p>
        </w:tc>
      </w:tr>
    </w:tbl>
    <w:p w:rsidR="00227E66" w:rsidRPr="00227E66" w:rsidRDefault="00227E66" w:rsidP="00227E66">
      <w:pPr>
        <w:shd w:val="clear" w:color="auto" w:fill="FFFFFF"/>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 xml:space="preserve">Таблица 2 </w:t>
      </w:r>
    </w:p>
    <w:p w:rsidR="00227E66" w:rsidRPr="00227E66" w:rsidRDefault="00227E66" w:rsidP="00227E66">
      <w:pPr>
        <w:shd w:val="clear" w:color="auto" w:fill="FFFFFF"/>
        <w:spacing w:before="144" w:after="150" w:line="288" w:lineRule="atLeast"/>
        <w:rPr>
          <w:rFonts w:ascii="Arial" w:eastAsia="Times New Roman" w:hAnsi="Arial" w:cs="Arial"/>
          <w:color w:val="4C4C4C"/>
          <w:sz w:val="23"/>
          <w:szCs w:val="23"/>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3"/>
        <w:gridCol w:w="1094"/>
        <w:gridCol w:w="1833"/>
        <w:gridCol w:w="1861"/>
        <w:gridCol w:w="1400"/>
        <w:gridCol w:w="2495"/>
      </w:tblGrid>
      <w:tr w:rsidR="00227E66" w:rsidRPr="00227E66" w:rsidTr="00227E66">
        <w:trPr>
          <w:trHeight w:val="15"/>
          <w:tblCellSpacing w:w="15" w:type="dxa"/>
        </w:trPr>
        <w:tc>
          <w:tcPr>
            <w:tcW w:w="166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478"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66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663"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1478"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c>
          <w:tcPr>
            <w:tcW w:w="3696" w:type="dxa"/>
            <w:hideMark/>
          </w:tcPr>
          <w:p w:rsidR="00227E66" w:rsidRPr="00227E66" w:rsidRDefault="00227E66" w:rsidP="00227E66">
            <w:pPr>
              <w:spacing w:after="0" w:line="240" w:lineRule="auto"/>
              <w:rPr>
                <w:rFonts w:ascii="Arial" w:eastAsia="Times New Roman" w:hAnsi="Arial" w:cs="Arial"/>
                <w:color w:val="4C4C4C"/>
                <w:sz w:val="2"/>
                <w:szCs w:val="21"/>
                <w:lang w:eastAsia="ru-RU"/>
              </w:rPr>
            </w:pPr>
          </w:p>
        </w:tc>
      </w:tr>
      <w:tr w:rsidR="00227E66" w:rsidRPr="00227E66" w:rsidTr="00227E66">
        <w:trPr>
          <w:tblCellSpacing w:w="15" w:type="dxa"/>
        </w:trPr>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Марка латуни</w:t>
            </w:r>
          </w:p>
        </w:tc>
        <w:tc>
          <w:tcPr>
            <w:tcW w:w="147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Способ литья</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Временное сопротивление разрыву </w:t>
            </w:r>
            <w:r>
              <w:rPr>
                <w:rFonts w:ascii="Arial" w:eastAsia="Times New Roman" w:hAnsi="Arial" w:cs="Arial"/>
                <w:noProof/>
                <w:color w:val="4C4C4C"/>
                <w:sz w:val="23"/>
                <w:szCs w:val="23"/>
                <w:lang w:eastAsia="ru-RU"/>
              </w:rPr>
              <w:drawing>
                <wp:inline distT="0" distB="0" distL="0" distR="0">
                  <wp:extent cx="190500" cy="200025"/>
                  <wp:effectExtent l="0" t="0" r="0" b="9525"/>
                  <wp:docPr id="4" name="Рисунок 4" descr="http://docs.cntd.ru/docimages/1200/120000/1200009231/P00240002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docimages/1200/120000/1200009231/P002400020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227E66">
              <w:rPr>
                <w:rFonts w:ascii="Arial" w:eastAsia="Times New Roman" w:hAnsi="Arial" w:cs="Arial"/>
                <w:color w:val="4C4C4C"/>
                <w:sz w:val="23"/>
                <w:szCs w:val="23"/>
                <w:lang w:eastAsia="ru-RU"/>
              </w:rPr>
              <w:t>,</w:t>
            </w:r>
            <w:r w:rsidRPr="00227E66">
              <w:rPr>
                <w:rFonts w:ascii="Arial" w:eastAsia="Times New Roman" w:hAnsi="Arial" w:cs="Arial"/>
                <w:color w:val="4C4C4C"/>
                <w:sz w:val="23"/>
                <w:szCs w:val="23"/>
                <w:lang w:eastAsia="ru-RU"/>
              </w:rPr>
              <w:br/>
              <w:t>Н/мм</w:t>
            </w:r>
            <w:r>
              <w:rPr>
                <w:rFonts w:ascii="Arial" w:eastAsia="Times New Roman" w:hAnsi="Arial" w:cs="Arial"/>
                <w:noProof/>
                <w:color w:val="4C4C4C"/>
                <w:sz w:val="23"/>
                <w:szCs w:val="23"/>
                <w:lang w:eastAsia="ru-RU"/>
              </w:rPr>
              <w:drawing>
                <wp:inline distT="0" distB="0" distL="0" distR="0">
                  <wp:extent cx="104775" cy="200025"/>
                  <wp:effectExtent l="0" t="0" r="9525" b="9525"/>
                  <wp:docPr id="3" name="Рисунок 3" descr="http://docs.cntd.ru/docimages/1200/120000/1200009231/P00240002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docimages/1200/120000/1200009231/P002400020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227E66">
              <w:rPr>
                <w:rFonts w:ascii="Arial" w:eastAsia="Times New Roman" w:hAnsi="Arial" w:cs="Arial"/>
                <w:color w:val="4C4C4C"/>
                <w:sz w:val="23"/>
                <w:szCs w:val="23"/>
                <w:lang w:eastAsia="ru-RU"/>
              </w:rPr>
              <w:t xml:space="preserve"> (кгс/мм</w:t>
            </w:r>
            <w:r>
              <w:rPr>
                <w:rFonts w:ascii="Arial" w:eastAsia="Times New Roman" w:hAnsi="Arial" w:cs="Arial"/>
                <w:noProof/>
                <w:color w:val="4C4C4C"/>
                <w:sz w:val="23"/>
                <w:szCs w:val="23"/>
                <w:lang w:eastAsia="ru-RU"/>
              </w:rPr>
              <w:drawing>
                <wp:inline distT="0" distB="0" distL="0" distR="0">
                  <wp:extent cx="104775" cy="200025"/>
                  <wp:effectExtent l="0" t="0" r="9525" b="9525"/>
                  <wp:docPr id="2" name="Рисунок 2" descr="http://docs.cntd.ru/docimages/1200/120000/1200009231/P00240002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cntd.ru/docimages/1200/120000/1200009231/P002400020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227E66">
              <w:rPr>
                <w:rFonts w:ascii="Arial" w:eastAsia="Times New Roman" w:hAnsi="Arial" w:cs="Arial"/>
                <w:color w:val="4C4C4C"/>
                <w:sz w:val="23"/>
                <w:szCs w:val="23"/>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Относительное удлинение </w:t>
            </w:r>
            <w:r w:rsidRPr="00227E66">
              <w:rPr>
                <w:rFonts w:ascii="Arial" w:eastAsia="Times New Roman" w:hAnsi="Arial" w:cs="Arial"/>
                <w:color w:val="4C4C4C"/>
                <w:sz w:val="23"/>
                <w:szCs w:val="23"/>
                <w:lang w:eastAsia="ru-RU"/>
              </w:rPr>
              <w:br/>
            </w:r>
            <w:r>
              <w:rPr>
                <w:rFonts w:ascii="Arial" w:eastAsia="Times New Roman" w:hAnsi="Arial" w:cs="Arial"/>
                <w:noProof/>
                <w:color w:val="4C4C4C"/>
                <w:sz w:val="23"/>
                <w:szCs w:val="23"/>
                <w:lang w:eastAsia="ru-RU"/>
              </w:rPr>
              <w:drawing>
                <wp:inline distT="0" distB="0" distL="0" distR="0">
                  <wp:extent cx="180975" cy="200025"/>
                  <wp:effectExtent l="0" t="0" r="9525" b="9525"/>
                  <wp:docPr id="1" name="Рисунок 1" descr="http://docs.cntd.ru/docimages/1200/120000/1200009231/P0024000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cntd.ru/docimages/1200/120000/1200009231/P00240003000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227E66">
              <w:rPr>
                <w:rFonts w:ascii="Arial" w:eastAsia="Times New Roman" w:hAnsi="Arial" w:cs="Arial"/>
                <w:color w:val="4C4C4C"/>
                <w:sz w:val="23"/>
                <w:szCs w:val="23"/>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Твердость по Бринеллю, НВ</w:t>
            </w:r>
          </w:p>
        </w:tc>
        <w:tc>
          <w:tcPr>
            <w:tcW w:w="369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Примерное назначение литья</w:t>
            </w:r>
          </w:p>
        </w:tc>
      </w:tr>
      <w:tr w:rsidR="00227E66" w:rsidRPr="00227E66" w:rsidTr="00227E66">
        <w:trPr>
          <w:tblCellSpacing w:w="15" w:type="dxa"/>
        </w:trPr>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c>
          <w:tcPr>
            <w:tcW w:w="4805"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не менее</w:t>
            </w:r>
          </w:p>
        </w:tc>
        <w:tc>
          <w:tcPr>
            <w:tcW w:w="369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w:t>
            </w:r>
          </w:p>
        </w:tc>
        <w:tc>
          <w:tcPr>
            <w:tcW w:w="147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215 (22)</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12</w:t>
            </w:r>
          </w:p>
        </w:tc>
        <w:tc>
          <w:tcPr>
            <w:tcW w:w="147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70</w:t>
            </w:r>
          </w:p>
        </w:tc>
        <w:tc>
          <w:tcPr>
            <w:tcW w:w="369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литья арматуры, втулок и сепараторов шариковых и роликовых подшипников </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 Ц</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215 (22)</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80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ЛЦ40Сд</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196 (20)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литья под давлением арматуры (втулки, </w:t>
            </w:r>
            <w:r w:rsidRPr="00227E66">
              <w:rPr>
                <w:rFonts w:ascii="Arial" w:eastAsia="Times New Roman" w:hAnsi="Arial" w:cs="Arial"/>
                <w:color w:val="4C4C4C"/>
                <w:sz w:val="23"/>
                <w:szCs w:val="23"/>
                <w:lang w:eastAsia="ru-RU"/>
              </w:rPr>
              <w:lastRenderedPageBreak/>
              <w:t xml:space="preserve">тройники, переходники), сепараторов подшипников, работающих в среде воздуха или пресной воды </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264 (27)</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18</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372 (38)</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Для изготовления деталей простой конфигурации, работающих при ударных нагрузках, а также деталей узлов трения, работающих в условиях спокойной нагрузки при температурах не выше 60 °С</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 Ц</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392 (40)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20</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110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ЛЦ40Мц3Ж</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441 (45)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18</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90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изготовления несложных по конфигурации деталей ответственного назначения и арматуры морского судостроения, работающих при температуре до 300 °С; массивных деталей, гребных винтов и их лопастей для тропиков </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490 (50)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392 (40)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ЛЦ40Мц3А</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 Ц</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441 (45)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115</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Для изготовления деталей несложной конфигурации</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ЛЦ38Мц2С2</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245 (25)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80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Для изготовления конструкционных деталей и аппаратуры для судов; антифрикционных деталей несложной конфигурации (втулки, вкладыши, ползуны, арматура вагонных подшипников)</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343 (35)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85</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ЛЦ37Мц2С2К</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343 (35)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110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Антифрикционные детали, арматура</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ЛЦ30А3</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294 (30)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12</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80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изготовления коррозионно-стойких деталей, применяемых в судостроении и машиностроении </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392 (40)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90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ЛЦ25С2</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146 (15)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8</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Для изготовления штуцеров гидросистем автомобилей</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ЛЦ23А6Ж3Мц2</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686 (70)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160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изготовления ответственных деталей, работающих при высоких удельных и знакопеременных нагрузках, при изгибе, а также антифрикционных деталей (нажимные винты, гайки нажимных винтов прокатных станов, венцы червячных колес, втулки и др. </w:t>
            </w:r>
            <w:r w:rsidRPr="00227E66">
              <w:rPr>
                <w:rFonts w:ascii="Arial" w:eastAsia="Times New Roman" w:hAnsi="Arial" w:cs="Arial"/>
                <w:color w:val="4C4C4C"/>
                <w:sz w:val="23"/>
                <w:szCs w:val="23"/>
                <w:lang w:eastAsia="ru-RU"/>
              </w:rPr>
              <w:lastRenderedPageBreak/>
              <w:t>детали)</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 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705 (72)</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165</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ЛЦ16К4</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294 (30)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изготовления сложных по конфигурации деталей приборов и арматуры, работающих при температуре до 250 °С и подвергающихся </w:t>
            </w:r>
            <w:proofErr w:type="spellStart"/>
            <w:r w:rsidRPr="00227E66">
              <w:rPr>
                <w:rFonts w:ascii="Arial" w:eastAsia="Times New Roman" w:hAnsi="Arial" w:cs="Arial"/>
                <w:color w:val="4C4C4C"/>
                <w:sz w:val="23"/>
                <w:szCs w:val="23"/>
                <w:lang w:eastAsia="ru-RU"/>
              </w:rPr>
              <w:t>гидровоздушным</w:t>
            </w:r>
            <w:proofErr w:type="spellEnd"/>
            <w:r w:rsidRPr="00227E66">
              <w:rPr>
                <w:rFonts w:ascii="Arial" w:eastAsia="Times New Roman" w:hAnsi="Arial" w:cs="Arial"/>
                <w:color w:val="4C4C4C"/>
                <w:sz w:val="23"/>
                <w:szCs w:val="23"/>
                <w:lang w:eastAsia="ru-RU"/>
              </w:rPr>
              <w:t xml:space="preserve"> испытаниям; деталей, работающих в среде морской воды, при условии обеспечения протекторной защиты (шестерни, детали узлов трения и др.)</w:t>
            </w: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343 (35)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110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p>
        </w:tc>
      </w:tr>
      <w:tr w:rsidR="00227E66" w:rsidRPr="00227E66" w:rsidTr="00227E66">
        <w:trPr>
          <w:tblCellSpacing w:w="15" w:type="dxa"/>
        </w:trPr>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ЛЦ14К3С3</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К</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294 (30)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15</w:t>
            </w:r>
          </w:p>
        </w:tc>
        <w:tc>
          <w:tcPr>
            <w:tcW w:w="1478"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100</w:t>
            </w:r>
          </w:p>
        </w:tc>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227E66" w:rsidRPr="00227E66" w:rsidRDefault="00227E66" w:rsidP="00227E66">
            <w:pPr>
              <w:spacing w:before="144" w:after="144"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 xml:space="preserve">Для изготовления подшипников, втулок </w:t>
            </w:r>
          </w:p>
        </w:tc>
      </w:tr>
      <w:tr w:rsidR="00227E66" w:rsidRPr="00227E66" w:rsidTr="00227E66">
        <w:trPr>
          <w:tblCellSpacing w:w="15" w:type="dxa"/>
        </w:trPr>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c>
          <w:tcPr>
            <w:tcW w:w="147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П</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245 (25)</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7</w:t>
            </w:r>
          </w:p>
        </w:tc>
        <w:tc>
          <w:tcPr>
            <w:tcW w:w="147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90</w:t>
            </w:r>
          </w:p>
        </w:tc>
        <w:tc>
          <w:tcPr>
            <w:tcW w:w="369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227E66" w:rsidRPr="00227E66" w:rsidRDefault="00227E66" w:rsidP="00227E66">
            <w:pPr>
              <w:spacing w:before="144" w:after="240" w:line="288" w:lineRule="atLeast"/>
              <w:rPr>
                <w:rFonts w:ascii="Arial" w:eastAsia="Times New Roman" w:hAnsi="Arial" w:cs="Arial"/>
                <w:color w:val="4C4C4C"/>
                <w:sz w:val="23"/>
                <w:szCs w:val="23"/>
                <w:lang w:eastAsia="ru-RU"/>
              </w:rPr>
            </w:pPr>
          </w:p>
        </w:tc>
      </w:tr>
    </w:tbl>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br/>
        <w:t>Примечание. Условные обозначения способов литья:</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П - литье в песчаную литейную форму;</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К - кокильное литье;</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Д - литье под давлением;</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Ц - центробежное литье.</w:t>
      </w:r>
      <w:r w:rsidRPr="00227E66">
        <w:rPr>
          <w:rFonts w:ascii="Arial" w:eastAsia="Times New Roman" w:hAnsi="Arial" w:cs="Arial"/>
          <w:color w:val="4C4C4C"/>
          <w:sz w:val="23"/>
          <w:szCs w:val="23"/>
          <w:lang w:eastAsia="ru-RU"/>
        </w:rPr>
        <w:br/>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2. Определение химического состава сплавов проводят по ГОСТ 1652.1-ГОСТ 1652.13. Допускается определять химический состав сплавов другими методами, обеспечивающими точность не ниже приведенных в указанных стандартах. При возникновении разногласий в оценке химического состава определение проводят по ГОСТ 1652.1-ГОСТ 1652.13.</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lastRenderedPageBreak/>
        <w:t>3. Механические свойства сплавов определяют на отдельно отлитых образцах или образцах, изготовленных из отдельно отлитых проб. При заливке пробы необходимо обеспечить ее питание по всей длине. Диаметр рабочей части образцов 10 мм, расчетная длина - 50 мм. Количество образцов и проб указывается в нормативно-технической документации на конкретную продукцию.</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4. Способ литья образцов и проб должен соответствовать способу изготовления отливок.</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Для определения механических свойств при литье под давлением или центробежным способом допускается заливать пробы в кокиль.</w:t>
      </w:r>
    </w:p>
    <w:p w:rsidR="00227E66" w:rsidRPr="00227E66" w:rsidRDefault="00227E66" w:rsidP="00227E66">
      <w:pPr>
        <w:shd w:val="clear" w:color="auto" w:fill="FFFFFF"/>
        <w:spacing w:before="144" w:after="24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5. Испытание образцов на растяжение проводят по ГОСТ 1497.</w:t>
      </w:r>
    </w:p>
    <w:p w:rsidR="00C96A9F" w:rsidRPr="00227E66" w:rsidRDefault="00227E66" w:rsidP="00227E66">
      <w:pPr>
        <w:shd w:val="clear" w:color="auto" w:fill="FFFFFF"/>
        <w:spacing w:before="144" w:after="150" w:line="288" w:lineRule="atLeast"/>
        <w:rPr>
          <w:rFonts w:ascii="Arial" w:eastAsia="Times New Roman" w:hAnsi="Arial" w:cs="Arial"/>
          <w:color w:val="4C4C4C"/>
          <w:sz w:val="23"/>
          <w:szCs w:val="23"/>
          <w:lang w:eastAsia="ru-RU"/>
        </w:rPr>
      </w:pPr>
      <w:r w:rsidRPr="00227E66">
        <w:rPr>
          <w:rFonts w:ascii="Arial" w:eastAsia="Times New Roman" w:hAnsi="Arial" w:cs="Arial"/>
          <w:color w:val="4C4C4C"/>
          <w:sz w:val="23"/>
          <w:szCs w:val="23"/>
          <w:lang w:eastAsia="ru-RU"/>
        </w:rPr>
        <w:t>6. Определение твердости по Бринеллю проводят по ГОСТ 9012.</w:t>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r>
      <w:r w:rsidRPr="00227E66">
        <w:rPr>
          <w:rFonts w:ascii="Arial" w:eastAsia="Times New Roman" w:hAnsi="Arial" w:cs="Arial"/>
          <w:color w:val="4C4C4C"/>
          <w:sz w:val="23"/>
          <w:szCs w:val="23"/>
          <w:lang w:eastAsia="ru-RU"/>
        </w:rPr>
        <w:br/>
        <w:t>Текст документа сверен по:</w:t>
      </w:r>
      <w:r w:rsidRPr="00227E66">
        <w:rPr>
          <w:rFonts w:ascii="Arial" w:eastAsia="Times New Roman" w:hAnsi="Arial" w:cs="Arial"/>
          <w:color w:val="4C4C4C"/>
          <w:sz w:val="23"/>
          <w:szCs w:val="23"/>
          <w:lang w:eastAsia="ru-RU"/>
        </w:rPr>
        <w:br/>
        <w:t>официальное издание</w:t>
      </w:r>
      <w:r w:rsidRPr="00227E66">
        <w:rPr>
          <w:rFonts w:ascii="Arial" w:eastAsia="Times New Roman" w:hAnsi="Arial" w:cs="Arial"/>
          <w:color w:val="4C4C4C"/>
          <w:sz w:val="23"/>
          <w:szCs w:val="23"/>
          <w:lang w:eastAsia="ru-RU"/>
        </w:rPr>
        <w:br/>
        <w:t xml:space="preserve">М.: ИПК Издательство стандартов, 1996 </w:t>
      </w:r>
    </w:p>
    <w:sectPr w:rsidR="00C96A9F" w:rsidRPr="00227E66" w:rsidSect="00E7065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72" w:rsidRDefault="00B00372" w:rsidP="00227E66">
      <w:pPr>
        <w:spacing w:after="0" w:line="240" w:lineRule="auto"/>
      </w:pPr>
      <w:r>
        <w:separator/>
      </w:r>
    </w:p>
  </w:endnote>
  <w:endnote w:type="continuationSeparator" w:id="0">
    <w:p w:rsidR="00B00372" w:rsidRDefault="00B00372" w:rsidP="0022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39709"/>
      <w:docPartObj>
        <w:docPartGallery w:val="Page Numbers (Bottom of Page)"/>
        <w:docPartUnique/>
      </w:docPartObj>
    </w:sdtPr>
    <w:sdtContent>
      <w:p w:rsidR="00227E66" w:rsidRDefault="00227E66">
        <w:pPr>
          <w:pStyle w:val="a7"/>
          <w:jc w:val="right"/>
        </w:pPr>
        <w:r>
          <w:fldChar w:fldCharType="begin"/>
        </w:r>
        <w:r>
          <w:instrText>PAGE   \* MERGEFORMAT</w:instrText>
        </w:r>
        <w:r>
          <w:fldChar w:fldCharType="separate"/>
        </w:r>
        <w:r w:rsidR="00E70652">
          <w:rPr>
            <w:noProof/>
          </w:rPr>
          <w:t>6</w:t>
        </w:r>
        <w:r>
          <w:fldChar w:fldCharType="end"/>
        </w:r>
      </w:p>
    </w:sdtContent>
  </w:sdt>
  <w:p w:rsidR="00227E66" w:rsidRDefault="00227E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72" w:rsidRDefault="00B00372" w:rsidP="00227E66">
      <w:pPr>
        <w:spacing w:after="0" w:line="240" w:lineRule="auto"/>
      </w:pPr>
      <w:r>
        <w:separator/>
      </w:r>
    </w:p>
  </w:footnote>
  <w:footnote w:type="continuationSeparator" w:id="0">
    <w:p w:rsidR="00B00372" w:rsidRDefault="00B00372" w:rsidP="00227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66"/>
    <w:rsid w:val="00227E66"/>
    <w:rsid w:val="005779E1"/>
    <w:rsid w:val="00B00372"/>
    <w:rsid w:val="00C96A9F"/>
    <w:rsid w:val="00E7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1">
    <w:name w:val="headertext1"/>
    <w:basedOn w:val="a"/>
    <w:rsid w:val="00227E66"/>
    <w:pPr>
      <w:spacing w:before="144" w:after="144" w:line="288" w:lineRule="atLeast"/>
    </w:pPr>
    <w:rPr>
      <w:rFonts w:ascii="Times New Roman" w:eastAsia="Times New Roman" w:hAnsi="Times New Roman" w:cs="Times New Roman"/>
      <w:b/>
      <w:bCs/>
      <w:sz w:val="23"/>
      <w:szCs w:val="23"/>
      <w:lang w:eastAsia="ru-RU"/>
    </w:rPr>
  </w:style>
  <w:style w:type="character" w:customStyle="1" w:styleId="date1">
    <w:name w:val="date1"/>
    <w:basedOn w:val="a0"/>
    <w:rsid w:val="00227E66"/>
    <w:rPr>
      <w:b/>
      <w:bCs/>
    </w:rPr>
  </w:style>
  <w:style w:type="paragraph" w:styleId="a3">
    <w:name w:val="Balloon Text"/>
    <w:basedOn w:val="a"/>
    <w:link w:val="a4"/>
    <w:uiPriority w:val="99"/>
    <w:semiHidden/>
    <w:unhideWhenUsed/>
    <w:rsid w:val="00227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E66"/>
    <w:rPr>
      <w:rFonts w:ascii="Tahoma" w:hAnsi="Tahoma" w:cs="Tahoma"/>
      <w:sz w:val="16"/>
      <w:szCs w:val="16"/>
    </w:rPr>
  </w:style>
  <w:style w:type="paragraph" w:styleId="a5">
    <w:name w:val="header"/>
    <w:basedOn w:val="a"/>
    <w:link w:val="a6"/>
    <w:uiPriority w:val="99"/>
    <w:unhideWhenUsed/>
    <w:rsid w:val="00227E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7E66"/>
  </w:style>
  <w:style w:type="paragraph" w:styleId="a7">
    <w:name w:val="footer"/>
    <w:basedOn w:val="a"/>
    <w:link w:val="a8"/>
    <w:uiPriority w:val="99"/>
    <w:unhideWhenUsed/>
    <w:rsid w:val="00227E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7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1">
    <w:name w:val="headertext1"/>
    <w:basedOn w:val="a"/>
    <w:rsid w:val="00227E66"/>
    <w:pPr>
      <w:spacing w:before="144" w:after="144" w:line="288" w:lineRule="atLeast"/>
    </w:pPr>
    <w:rPr>
      <w:rFonts w:ascii="Times New Roman" w:eastAsia="Times New Roman" w:hAnsi="Times New Roman" w:cs="Times New Roman"/>
      <w:b/>
      <w:bCs/>
      <w:sz w:val="23"/>
      <w:szCs w:val="23"/>
      <w:lang w:eastAsia="ru-RU"/>
    </w:rPr>
  </w:style>
  <w:style w:type="character" w:customStyle="1" w:styleId="date1">
    <w:name w:val="date1"/>
    <w:basedOn w:val="a0"/>
    <w:rsid w:val="00227E66"/>
    <w:rPr>
      <w:b/>
      <w:bCs/>
    </w:rPr>
  </w:style>
  <w:style w:type="paragraph" w:styleId="a3">
    <w:name w:val="Balloon Text"/>
    <w:basedOn w:val="a"/>
    <w:link w:val="a4"/>
    <w:uiPriority w:val="99"/>
    <w:semiHidden/>
    <w:unhideWhenUsed/>
    <w:rsid w:val="00227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E66"/>
    <w:rPr>
      <w:rFonts w:ascii="Tahoma" w:hAnsi="Tahoma" w:cs="Tahoma"/>
      <w:sz w:val="16"/>
      <w:szCs w:val="16"/>
    </w:rPr>
  </w:style>
  <w:style w:type="paragraph" w:styleId="a5">
    <w:name w:val="header"/>
    <w:basedOn w:val="a"/>
    <w:link w:val="a6"/>
    <w:uiPriority w:val="99"/>
    <w:unhideWhenUsed/>
    <w:rsid w:val="00227E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7E66"/>
  </w:style>
  <w:style w:type="paragraph" w:styleId="a7">
    <w:name w:val="footer"/>
    <w:basedOn w:val="a"/>
    <w:link w:val="a8"/>
    <w:uiPriority w:val="99"/>
    <w:unhideWhenUsed/>
    <w:rsid w:val="00227E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6915">
      <w:marLeft w:val="0"/>
      <w:marRight w:val="0"/>
      <w:marTop w:val="0"/>
      <w:marBottom w:val="0"/>
      <w:divBdr>
        <w:top w:val="none" w:sz="0" w:space="0" w:color="auto"/>
        <w:left w:val="none" w:sz="0" w:space="0" w:color="auto"/>
        <w:bottom w:val="none" w:sz="0" w:space="0" w:color="auto"/>
        <w:right w:val="none" w:sz="0" w:space="0" w:color="auto"/>
      </w:divBdr>
      <w:divsChild>
        <w:div w:id="8146829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9EB2-F42E-4B20-B82A-C841BA1D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Попов</dc:creator>
  <cp:lastModifiedBy>Александр Попов</cp:lastModifiedBy>
  <cp:revision>3</cp:revision>
  <dcterms:created xsi:type="dcterms:W3CDTF">2012-06-19T06:28:00Z</dcterms:created>
  <dcterms:modified xsi:type="dcterms:W3CDTF">2012-06-19T06:32:00Z</dcterms:modified>
</cp:coreProperties>
</file>